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1"/>
        <w:jc w:val="center"/>
        <w:rPr/>
      </w:pPr>
      <w:r>
        <w:rPr>
          <w:sz w:val="28"/>
          <w:szCs w:val="28"/>
        </w:rPr>
        <w:t xml:space="preserve">Неработающие пенсионеры получат перерасчет </w:t>
      </w:r>
    </w:p>
    <w:p>
      <w:pPr>
        <w:pStyle w:val="1"/>
        <w:jc w:val="center"/>
        <w:rPr/>
      </w:pPr>
      <w:r>
        <w:rPr>
          <w:sz w:val="28"/>
          <w:szCs w:val="28"/>
        </w:rPr>
        <w:t>социальной доплаты к пенсии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Согласно </w:t>
      </w:r>
      <w:hyperlink r:id="rId2" w:tgtFrame="_blank">
        <w:r>
          <w:rPr>
            <w:rStyle w:val="Style10"/>
          </w:rPr>
          <w:t>изменениям</w:t>
        </w:r>
      </w:hyperlink>
      <w:r>
        <w:rPr/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 РФ.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Новые положения закона распространяют свое действие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Повышения пенсий и ежемесячной денежной выплаты в результате прошедших индексаций будут пересмотрены и установлены в новых размерах начиная с мая.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 xml:space="preserve">Увеличение доплат пройдет беззаявительно, поэтому пенсионерам не нужно обращаться в территориальные органы  Пенсионного фонда Российской Федерации, чтобы подать какие-либо заявления.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Краснодарском крае численность граждан, которым федеральная социальная доплата установлена (пересмотрена) по новому законодательству составляет 250 тысяч человек. В том числе порядка 30 тысяч пенсионеров впервые приобрели право на выплату сумм индексации пенсии и ежемесячных денежных выплат (ЕДВ) сверх величины прожиточного минимума пенсионера на Кубани с применением нового механизма расчета социальной доплаты к пенсии.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6323965" cy="4448810"/>
            <wp:effectExtent l="0" t="0" r="0" b="0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5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jc w:val="center"/>
        <w:rPr/>
      </w:pPr>
      <w:r>
        <w:rPr>
          <w:sz w:val="28"/>
          <w:szCs w:val="28"/>
        </w:rPr>
        <w:t>«Доступная среда» для всех клиентов ПФР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Одним из важных направлений работы Отделения Пенсионного фонда РФ по Краснодарскому краю и его территориальных Управлений ПФР является повышение уровня обслуживания граждан, в том числе маломобильной категории населения. Для реализации данного направления деятельности региональное Отделение Пенсионного фонда РФ на протяжении ряда лет является участником государственной программы «Доступная среда».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Основная цель данной программы – формирование среды, одинаково доступной для всех членов общества в ключевых сферах жизнедеятельности, в том числе путем выявления и устранения препятствий и барьеров, мешающих доступности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Отделением ПФР по Краснодарскому краю совместно с Управлениями ПФР в городах и районах Кубани регулярно проводится работа по адаптации зданий к беспрепятственному доступу маломобильных групп населения.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В результате оценки доступности участка, зданий и помещений учреждений выявлены все необходимые «отправные точки» для последующего принятия проектных решений по реконструкции зданий и их дооснащению необходимыми техническими средствами и оборудованием.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Управлениями ПФР в городах и районах края разработаны и утверждены планы мероприятий по реконструкции и дооснащению зданий и помещений для обеспечения доступности маломобильных групп населения и назначены ответственные лица, осуществляющие контроль за исполнением и соблюдением сроков данных мероприятий.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Большинство Управлений ПФР в городах и районах Краснодарского края при входе в зал для приема и ожидания посетителей оснащены мнемосхемами, обеспечивающими возможность ориентации и навигации слабовидящих инвалидов на площади клиентской службы, а также радиомаяками для слепых и слабовидящих, звуковыми информаторами по типу телефон-автоматов, оборудованы автостоянки для транспорта инвалидов, установлены кнопки вызова.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Также Управления ПФР в городах и районах края оснащены мобильными подъемниками для инвалидов и пандусами.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Для обеспечения доступности Управлений ПФР для маломобильных групп населения проводятся работы по нанесению тактильных покрытий, полос на пути движения маломобильных групп населения, шероховатых (антискользящих) покрытий на наружных лестницах, нанесение пиктограмм, а так же информационных табличек, выполненных шрифтом Брайля.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0" distL="0" distR="0">
            <wp:extent cx="306070" cy="306070"/>
            <wp:effectExtent l="0" t="0" r="0" b="0"/>
            <wp:docPr id="6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7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8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306070" cy="306070"/>
            <wp:effectExtent l="0" t="0" r="0" b="0"/>
            <wp:docPr id="9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sectPr>
      <w:headerReference w:type="default" r:id="rId12"/>
      <w:footerReference w:type="default" r:id="rId13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6354445" cy="2540"/>
              <wp:effectExtent l="11430" t="7620" r="8255" b="11430"/>
              <wp:wrapNone/>
              <wp:docPr id="16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364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9pt,-2.15pt" to="498.35pt,-2.05pt" ID="Line 4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80125" cy="916305"/>
              <wp:effectExtent l="0" t="0" r="0" b="635"/>
              <wp:wrapNone/>
              <wp:docPr id="10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9320" cy="91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00000A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A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00000A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4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  <w:p>
                          <w:pPr>
                            <w:pStyle w:val="Style24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65pt;height:72.0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00000A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00000A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00000A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4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  <w:p>
                    <w:pPr>
                      <w:pStyle w:val="Style24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2395" distR="114300" simplePos="0" locked="0" layoutInCell="1" allowOverlap="1" relativeHeight="7">
              <wp:simplePos x="0" y="0"/>
              <wp:positionH relativeFrom="column">
                <wp:posOffset>342900</wp:posOffset>
              </wp:positionH>
              <wp:positionV relativeFrom="paragraph">
                <wp:posOffset>1238250</wp:posOffset>
              </wp:positionV>
              <wp:extent cx="5257165" cy="2540"/>
              <wp:effectExtent l="9525" t="8890" r="12065" b="10160"/>
              <wp:wrapNone/>
              <wp:docPr id="1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36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5pt" to="440.85pt,97.6pt" ID="Line 2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25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2855" cy="29210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13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080" cy="29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color w:val="00000A"/>
                            </w:rPr>
                          </w:pPr>
                          <w:r>
                            <w:rPr>
                              <w:color w:val="00000A"/>
                            </w:rPr>
                            <w:t>ПРЕСС-РЕЛИЗ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fillcolor="white" stroked="f" style="position:absolute;margin-left:399.6pt;margin-top:18.9pt;width:98.55pt;height:22.9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color w:val="00000A"/>
                      </w:rPr>
                    </w:pPr>
                    <w:r>
                      <w:rPr>
                        <w:color w:val="00000A"/>
                      </w:rPr>
                      <w:t>ПРЕСС-РЕЛИЗ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20650" simplePos="0" locked="0" layoutInCell="1" allowOverlap="1" relativeHeight="17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0">
    <w:name w:val="Интернет-ссылка"/>
    <w:uiPriority w:val="99"/>
    <w:rPr>
      <w:color w:val="0000FF"/>
      <w:u w:val="single"/>
    </w:rPr>
  </w:style>
  <w:style w:type="character" w:styleId="Style11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0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1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2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4502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0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B7EF-89C8-4057-8DB9-871D0618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LibreOffice/5.4.4.2$Windows_x86 LibreOffice_project/2524958677847fb3bb44820e40380acbe820f960</Application>
  <Pages>3</Pages>
  <Words>619</Words>
  <Characters>4354</Characters>
  <CharactersWithSpaces>4988</CharactersWithSpaces>
  <Paragraphs>28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2019-04-25T09:49:00Z</dcterms:created>
  <dc:creator>Стас</dc:creator>
  <dc:description/>
  <dc:language>ru-RU</dc:language>
  <cp:lastModifiedBy/>
  <cp:lastPrinted>2019-04-08T11:42:00Z</cp:lastPrinted>
  <dcterms:modified xsi:type="dcterms:W3CDTF">2019-04-26T11:00:31Z</dcterms:modified>
  <cp:revision>5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